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left="0" w:leftChars="0" w:right="0" w:righ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firstLineChars="200"/>
        <w:jc w:val="left"/>
        <w:rPr>
          <w:rFonts w:ascii="仿宋_GB2312" w:hAnsi="仿宋_GB2312" w:eastAsia="仿宋_GB2312" w:cs="仿宋_GB2312"/>
          <w:sz w:val="32"/>
          <w:szCs w:val="40"/>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一、改革方式</w:t>
      </w:r>
    </w:p>
    <w:p>
      <w:pPr>
        <w:widowControl/>
        <w:spacing w:line="576" w:lineRule="exact"/>
        <w:ind w:firstLine="640" w:firstLineChars="200"/>
        <w:rPr>
          <w:rFonts w:ascii="仿宋_GB2312" w:hAnsi="Times New Roman" w:eastAsia="仿宋_GB2312"/>
          <w:kern w:val="0"/>
          <w:sz w:val="32"/>
          <w:szCs w:val="32"/>
          <w:lang w:bidi="ar"/>
        </w:rPr>
      </w:pPr>
      <w:r>
        <w:rPr>
          <w:rFonts w:hint="eastAsia" w:ascii="仿宋_GB2312" w:hAnsi="Times New Roman" w:eastAsia="仿宋_GB2312"/>
          <w:kern w:val="0"/>
          <w:sz w:val="32"/>
          <w:szCs w:val="32"/>
          <w:lang w:bidi="ar"/>
        </w:rPr>
        <w:t>1.不再要求申请人提供营业执照等材料。</w:t>
      </w:r>
    </w:p>
    <w:p>
      <w:pPr>
        <w:widowControl/>
        <w:spacing w:line="576" w:lineRule="exact"/>
        <w:ind w:left="638" w:leftChars="304"/>
        <w:rPr>
          <w:rFonts w:ascii="仿宋_GB2312" w:hAnsi="Times New Roman" w:eastAsia="仿宋_GB2312"/>
          <w:kern w:val="0"/>
          <w:sz w:val="32"/>
          <w:szCs w:val="32"/>
          <w:lang w:bidi="ar"/>
        </w:rPr>
      </w:pPr>
      <w:r>
        <w:rPr>
          <w:rFonts w:hint="eastAsia" w:ascii="仿宋_GB2312" w:hAnsi="Times New Roman" w:eastAsia="仿宋_GB2312"/>
          <w:kern w:val="0"/>
          <w:sz w:val="32"/>
          <w:szCs w:val="32"/>
          <w:lang w:bidi="ar"/>
        </w:rPr>
        <w:t>2.取消新开办药品零售企业和已开办药品零售企业变更注册地址、变更仓库地址、增加库房的勘址工作，将筹建资料与验收资料合并，申请人在申报时一并提交。</w:t>
      </w:r>
    </w:p>
    <w:p>
      <w:pPr>
        <w:widowControl/>
        <w:spacing w:line="576" w:lineRule="exact"/>
        <w:ind w:left="638" w:leftChars="304"/>
        <w:rPr>
          <w:rFonts w:ascii="仿宋_GB2312" w:hAnsi="Times New Roman" w:eastAsia="仿宋_GB2312"/>
          <w:kern w:val="0"/>
          <w:sz w:val="32"/>
          <w:szCs w:val="32"/>
          <w:lang w:bidi="ar"/>
        </w:rPr>
      </w:pPr>
      <w:r>
        <w:rPr>
          <w:rFonts w:hint="eastAsia" w:ascii="仿宋_GB2312" w:hAnsi="Times New Roman" w:eastAsia="仿宋_GB2312"/>
          <w:kern w:val="0"/>
          <w:sz w:val="32"/>
          <w:szCs w:val="32"/>
          <w:lang w:bidi="ar"/>
        </w:rPr>
        <w:t>3.换证实行一次性办结，对近三年无重大违法记录、生产经营条件不变化的企业，经签订承诺书后现场换证。</w:t>
      </w:r>
    </w:p>
    <w:p>
      <w:pPr>
        <w:widowControl/>
        <w:spacing w:line="576" w:lineRule="exact"/>
        <w:ind w:left="638" w:leftChars="304"/>
        <w:rPr>
          <w:rFonts w:ascii="仿宋_GB2312" w:hAnsi="Times New Roman" w:eastAsia="仿宋_GB2312"/>
          <w:kern w:val="0"/>
          <w:sz w:val="32"/>
          <w:szCs w:val="32"/>
          <w:lang w:bidi="ar"/>
        </w:rPr>
      </w:pPr>
      <w:r>
        <w:rPr>
          <w:rFonts w:hint="eastAsia" w:ascii="仿宋_GB2312" w:hAnsi="Times New Roman" w:eastAsia="仿宋_GB2312"/>
          <w:kern w:val="0"/>
          <w:sz w:val="32"/>
          <w:szCs w:val="32"/>
          <w:lang w:bidi="ar"/>
        </w:rPr>
        <w:t>4.根据《陕西省药品监督管理局关于印发〈陕西省药品零售连锁企业监督管理办法（试行）〉等三个文件的通知》（陕药监发〔2019〕33号），对实行统一管理的连锁企业新增连锁门店，可按照快捷程序由连锁企业向连锁门店所在市（县）级负责药品监管的部门审批系统填报相关数据资料，由系统自动生成并印制《药品经营许可证》送达企业。</w:t>
      </w:r>
    </w:p>
    <w:p>
      <w:pPr>
        <w:spacing w:line="560" w:lineRule="exact"/>
        <w:ind w:firstLine="640" w:firstLineChars="200"/>
        <w:rPr>
          <w:rFonts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ascii="黑体" w:hAnsi="黑体" w:eastAsia="黑体" w:cs="黑体"/>
          <w:sz w:val="32"/>
          <w:szCs w:val="40"/>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 xml:space="preserve">  药品零售企业许可</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五、行政许可事项设定依据</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1.《中华人民共和国药品管理法》</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 xml:space="preserve">2.《中华人民共和国药品管理法实施条例》 </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3.《药品经营许可证管理办法》</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4.《药品经营质量管理规范》</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六、准予许可条件、标准和技术要求</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1.具有保证所经营药品质量的规章制度；</w:t>
      </w:r>
    </w:p>
    <w:p>
      <w:pPr>
        <w:tabs>
          <w:tab w:val="left" w:pos="790"/>
          <w:tab w:val="left" w:pos="1264"/>
        </w:tabs>
        <w:overflowPunct w:val="0"/>
        <w:spacing w:line="576" w:lineRule="exact"/>
        <w:ind w:left="638" w:leftChars="304"/>
        <w:rPr>
          <w:rFonts w:ascii="仿宋_GB2312" w:hAnsi="Times New Roman" w:eastAsia="仿宋_GB2312"/>
          <w:kern w:val="0"/>
          <w:sz w:val="32"/>
          <w:szCs w:val="32"/>
        </w:rPr>
      </w:pPr>
      <w:r>
        <w:rPr>
          <w:rFonts w:hint="eastAsia" w:ascii="仿宋_GB2312" w:hAnsi="Times New Roman" w:eastAsia="仿宋_GB2312"/>
          <w:kern w:val="0"/>
          <w:sz w:val="32"/>
          <w:szCs w:val="32"/>
        </w:rPr>
        <w:t>2.具有依法经过资格认定的药学技术人员；经营处方药、甲类非处方药的药品零售企业，必须配有执业药师或者其他依法经过资格认定的药学技术人员。质量负责人应有一年以上（含一年）药品经营质量管理工作经验。经营乙类非处方药的药品零售企业，以及农村乡镇以下地区设立药品零售企业的，应当按照《药品管理法实施条例》第15条的规定配备业务人员，有条件的应当配备执业药师。企业营业时间，以上人员应当在岗。</w:t>
      </w:r>
    </w:p>
    <w:p>
      <w:pPr>
        <w:tabs>
          <w:tab w:val="left" w:pos="790"/>
          <w:tab w:val="left" w:pos="1264"/>
        </w:tabs>
        <w:overflowPunct w:val="0"/>
        <w:spacing w:line="576" w:lineRule="exact"/>
        <w:ind w:left="638" w:leftChars="304"/>
        <w:rPr>
          <w:rFonts w:ascii="仿宋_GB2312" w:hAnsi="Times New Roman" w:eastAsia="仿宋_GB2312"/>
          <w:kern w:val="0"/>
          <w:sz w:val="32"/>
          <w:szCs w:val="32"/>
        </w:rPr>
      </w:pPr>
      <w:r>
        <w:rPr>
          <w:rFonts w:hint="eastAsia" w:ascii="仿宋_GB2312" w:hAnsi="Times New Roman" w:eastAsia="仿宋_GB2312"/>
          <w:kern w:val="0"/>
          <w:sz w:val="32"/>
          <w:szCs w:val="32"/>
        </w:rPr>
        <w:t>3.企业、企业法定代表人、企业负责人、质量负责人无《药品管理法》（2019年修订）第118条、第122条、第123条、第124条、第125条、第141条、第142条规定的情形；</w:t>
      </w:r>
    </w:p>
    <w:p>
      <w:pPr>
        <w:tabs>
          <w:tab w:val="left" w:pos="790"/>
          <w:tab w:val="left" w:pos="1264"/>
        </w:tabs>
        <w:overflowPunct w:val="0"/>
        <w:spacing w:line="576" w:lineRule="exact"/>
        <w:ind w:left="638" w:leftChars="304"/>
        <w:rPr>
          <w:rFonts w:ascii="仿宋_GB2312" w:hAnsi="Times New Roman" w:eastAsia="仿宋_GB2312"/>
          <w:kern w:val="0"/>
          <w:sz w:val="32"/>
          <w:szCs w:val="32"/>
        </w:rPr>
      </w:pPr>
      <w:r>
        <w:rPr>
          <w:rFonts w:hint="eastAsia" w:ascii="仿宋_GB2312" w:hAnsi="Times New Roman" w:eastAsia="仿宋_GB2312"/>
          <w:kern w:val="0"/>
          <w:sz w:val="32"/>
          <w:szCs w:val="32"/>
        </w:rPr>
        <w:t>4.具有与所经营药品相适应的营业场所、设备、仓储设施以及卫生环境。在超市等其他商业企业内设立零售药店的，必须具有独立的区域；</w:t>
      </w:r>
    </w:p>
    <w:p>
      <w:pPr>
        <w:tabs>
          <w:tab w:val="left" w:pos="790"/>
          <w:tab w:val="left" w:pos="1264"/>
        </w:tabs>
        <w:overflowPunct w:val="0"/>
        <w:spacing w:line="576" w:lineRule="exact"/>
        <w:ind w:left="638" w:leftChars="304"/>
        <w:rPr>
          <w:rFonts w:ascii="仿宋_GB2312" w:hAnsi="Times New Roman" w:eastAsia="仿宋_GB2312"/>
          <w:kern w:val="0"/>
          <w:sz w:val="32"/>
          <w:szCs w:val="32"/>
        </w:rPr>
      </w:pPr>
      <w:r>
        <w:rPr>
          <w:rFonts w:hint="eastAsia" w:ascii="仿宋_GB2312" w:hAnsi="Times New Roman" w:eastAsia="仿宋_GB2312"/>
          <w:kern w:val="0"/>
          <w:sz w:val="32"/>
          <w:szCs w:val="32"/>
        </w:rPr>
        <w:t>5.具有能够配备满足当地消费者所需药品的能力，并能保证24小时供应。药品零售企业应备有的国家基本药物品种数量由各省、自治区、直辖市食品药品监督管理部门结合当地具体情况确定。</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七、具体改革举措及主要理由</w:t>
      </w:r>
    </w:p>
    <w:p>
      <w:pPr>
        <w:widowControl/>
        <w:spacing w:line="576" w:lineRule="exact"/>
        <w:ind w:firstLine="640" w:firstLineChars="200"/>
        <w:rPr>
          <w:rFonts w:ascii="仿宋_GB2312" w:hAnsi="Times New Roman" w:eastAsia="仿宋_GB2312"/>
          <w:kern w:val="0"/>
          <w:sz w:val="32"/>
          <w:szCs w:val="32"/>
          <w:lang w:bidi="ar"/>
        </w:rPr>
      </w:pPr>
      <w:r>
        <w:rPr>
          <w:rFonts w:hint="eastAsia" w:ascii="仿宋_GB2312" w:hAnsi="Times New Roman" w:eastAsia="仿宋_GB2312"/>
          <w:kern w:val="0"/>
          <w:sz w:val="32"/>
          <w:szCs w:val="32"/>
          <w:lang w:bidi="ar"/>
        </w:rPr>
        <w:t>1.不再要求申请人提供营业执照等材料。</w:t>
      </w:r>
    </w:p>
    <w:p>
      <w:pPr>
        <w:widowControl/>
        <w:spacing w:line="576" w:lineRule="exact"/>
        <w:ind w:left="638" w:leftChars="304"/>
        <w:rPr>
          <w:rFonts w:ascii="仿宋_GB2312" w:hAnsi="Times New Roman" w:eastAsia="仿宋_GB2312"/>
          <w:kern w:val="0"/>
          <w:sz w:val="32"/>
          <w:szCs w:val="32"/>
          <w:lang w:bidi="ar"/>
        </w:rPr>
      </w:pPr>
      <w:r>
        <w:rPr>
          <w:rFonts w:hint="eastAsia" w:ascii="仿宋_GB2312" w:hAnsi="Times New Roman" w:eastAsia="仿宋_GB2312"/>
          <w:kern w:val="0"/>
          <w:sz w:val="32"/>
          <w:szCs w:val="32"/>
          <w:lang w:bidi="ar"/>
        </w:rPr>
        <w:t>2.取消新开办药品零售企业和已开办药品零售企业变更注册地址、变更仓库地址、增加库房的勘址工作，将筹建资料与验收资料合并，申请人在申报时一并提交。</w:t>
      </w:r>
    </w:p>
    <w:p>
      <w:pPr>
        <w:widowControl/>
        <w:spacing w:line="576" w:lineRule="exact"/>
        <w:ind w:left="638" w:leftChars="304"/>
        <w:rPr>
          <w:rFonts w:ascii="仿宋_GB2312" w:hAnsi="Times New Roman" w:eastAsia="仿宋_GB2312"/>
          <w:kern w:val="0"/>
          <w:sz w:val="32"/>
          <w:szCs w:val="32"/>
          <w:lang w:bidi="ar"/>
        </w:rPr>
      </w:pPr>
      <w:r>
        <w:rPr>
          <w:rFonts w:hint="eastAsia" w:ascii="仿宋_GB2312" w:hAnsi="Times New Roman" w:eastAsia="仿宋_GB2312"/>
          <w:kern w:val="0"/>
          <w:sz w:val="32"/>
          <w:szCs w:val="32"/>
          <w:lang w:bidi="ar"/>
        </w:rPr>
        <w:t>3.换证实行一次性办结，对近三年无重大违法记录、生产经营条件不变化的企业，经签订承诺书后现场换证。</w:t>
      </w:r>
    </w:p>
    <w:p>
      <w:pPr>
        <w:widowControl/>
        <w:spacing w:line="576" w:lineRule="exact"/>
        <w:ind w:left="638" w:leftChars="304"/>
        <w:rPr>
          <w:rFonts w:ascii="仿宋_GB2312" w:hAnsi="Times New Roman" w:eastAsia="仿宋_GB2312"/>
          <w:kern w:val="0"/>
          <w:sz w:val="32"/>
          <w:szCs w:val="32"/>
          <w:lang w:bidi="ar"/>
        </w:rPr>
      </w:pPr>
      <w:r>
        <w:rPr>
          <w:rFonts w:hint="eastAsia" w:ascii="仿宋_GB2312" w:hAnsi="Times New Roman" w:eastAsia="仿宋_GB2312"/>
          <w:kern w:val="0"/>
          <w:sz w:val="32"/>
          <w:szCs w:val="32"/>
          <w:lang w:bidi="ar"/>
        </w:rPr>
        <w:t>4.根据《陕西省药品监督管理局关于印发〈陕西省药品零售连锁企业监督管理办法（试行）〉等三个文件的通知》（陕药监发〔2019〕33号），对实行统一管理的连锁企业新增连锁门店，可按照快捷程序由连锁企业向连锁门店所在市（县）级负责药品监管的部门审批系统填报相关数据资料，由系统自动生成并印制《药品经营许可证》送达企业。</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应当提交下列材料：</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（一）新开办、换证</w:t>
      </w:r>
    </w:p>
    <w:p>
      <w:pPr>
        <w:tabs>
          <w:tab w:val="left" w:pos="790"/>
          <w:tab w:val="left" w:pos="1264"/>
        </w:tabs>
        <w:overflowPunct w:val="0"/>
        <w:spacing w:line="576" w:lineRule="exact"/>
        <w:ind w:left="958" w:leftChars="304" w:hanging="320" w:hangingChars="100"/>
        <w:rPr>
          <w:rFonts w:ascii="仿宋_GB2312" w:hAnsi="Times New Roman" w:eastAsia="仿宋_GB2312"/>
          <w:kern w:val="0"/>
          <w:sz w:val="32"/>
          <w:szCs w:val="32"/>
        </w:rPr>
      </w:pPr>
      <w:r>
        <w:rPr>
          <w:rFonts w:hint="eastAsia" w:ascii="仿宋_GB2312" w:hAnsi="Times New Roman" w:eastAsia="仿宋_GB2312"/>
          <w:kern w:val="0"/>
          <w:sz w:val="32"/>
          <w:szCs w:val="32"/>
        </w:rPr>
        <w:t>1.药品经营许可证申请表（申请开办法人单位分支机构的须由其上级法人单位提出申请）；</w:t>
      </w:r>
    </w:p>
    <w:p>
      <w:pPr>
        <w:tabs>
          <w:tab w:val="left" w:pos="790"/>
          <w:tab w:val="left" w:pos="1264"/>
        </w:tabs>
        <w:overflowPunct w:val="0"/>
        <w:spacing w:line="576" w:lineRule="exact"/>
        <w:ind w:left="958" w:leftChars="304" w:hanging="320" w:hangingChars="100"/>
        <w:rPr>
          <w:rFonts w:ascii="仿宋_GB2312" w:hAnsi="Times New Roman" w:eastAsia="仿宋_GB2312"/>
          <w:kern w:val="0"/>
          <w:sz w:val="32"/>
          <w:szCs w:val="32"/>
        </w:rPr>
      </w:pPr>
      <w:r>
        <w:rPr>
          <w:rFonts w:hint="eastAsia" w:ascii="仿宋_GB2312" w:hAnsi="Times New Roman" w:eastAsia="仿宋_GB2312"/>
          <w:kern w:val="0"/>
          <w:sz w:val="32"/>
          <w:szCs w:val="32"/>
        </w:rPr>
        <w:t>2.企业法定代表人、企业负责人、质量负责人学历、执业资格或职称证明、个人简历及专业技术人员资格证书、聘书（企业法定代表人或企业负责人具备执业药师资格；质量负责人具有药学或者医学、生物、化学等相关专业学历或具有药学专业技术职称）；</w:t>
      </w:r>
    </w:p>
    <w:p>
      <w:pPr>
        <w:tabs>
          <w:tab w:val="left" w:pos="790"/>
          <w:tab w:val="left" w:pos="1264"/>
        </w:tabs>
        <w:overflowPunct w:val="0"/>
        <w:spacing w:line="576" w:lineRule="exact"/>
        <w:ind w:left="958" w:leftChars="304" w:hanging="320" w:hangingChars="100"/>
        <w:rPr>
          <w:rFonts w:ascii="仿宋_GB2312" w:hAnsi="Times New Roman" w:eastAsia="仿宋_GB2312"/>
          <w:kern w:val="0"/>
          <w:sz w:val="32"/>
          <w:szCs w:val="32"/>
        </w:rPr>
      </w:pPr>
      <w:r>
        <w:rPr>
          <w:rFonts w:hint="eastAsia" w:ascii="仿宋_GB2312" w:hAnsi="Times New Roman" w:eastAsia="仿宋_GB2312"/>
          <w:kern w:val="0"/>
          <w:sz w:val="32"/>
          <w:szCs w:val="32"/>
        </w:rPr>
        <w:t>3.依法经过资格认定的药学专业技术人员的资格证书及聘书（验收、采购人员具有药学或者医学、生物、化学等相关专业学历或具有药学专业技术职称；从事中药饮片质量管理、验收、采购人员具有中药学中专以上学历或具有中药学专业初级以上专业技术职称；中药饮片调剂人员应当具有中药学中专以上学历或者具备中药调剂员资格）；</w:t>
      </w:r>
    </w:p>
    <w:p>
      <w:pPr>
        <w:tabs>
          <w:tab w:val="left" w:pos="790"/>
          <w:tab w:val="left" w:pos="1264"/>
        </w:tabs>
        <w:overflowPunct w:val="0"/>
        <w:spacing w:line="576" w:lineRule="exact"/>
        <w:ind w:left="958" w:leftChars="304" w:hanging="320" w:hangingChars="100"/>
        <w:rPr>
          <w:rFonts w:ascii="仿宋_GB2312" w:hAnsi="Times New Roman" w:eastAsia="仿宋_GB2312"/>
          <w:kern w:val="0"/>
          <w:sz w:val="32"/>
          <w:szCs w:val="32"/>
        </w:rPr>
      </w:pPr>
      <w:r>
        <w:rPr>
          <w:rFonts w:hint="eastAsia" w:ascii="仿宋_GB2312" w:hAnsi="Times New Roman" w:eastAsia="仿宋_GB2312"/>
          <w:kern w:val="0"/>
          <w:sz w:val="32"/>
          <w:szCs w:val="32"/>
        </w:rPr>
        <w:t>4.营业场所、仓库平面布置图及房屋产权或使用权证明；</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5.企业质量管理文件目录；</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6.授权委托书；</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7.《药品经营许可证》正、副本原件（换证申请须提供）；</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8.换证企业承诺书（承诺制换证须提交）。</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（二）变更</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1.《药品经营许可证》变更申请表；</w:t>
      </w:r>
    </w:p>
    <w:p>
      <w:pPr>
        <w:tabs>
          <w:tab w:val="left" w:pos="790"/>
          <w:tab w:val="left" w:pos="1264"/>
        </w:tabs>
        <w:overflowPunct w:val="0"/>
        <w:spacing w:line="576" w:lineRule="exact"/>
        <w:ind w:left="638" w:leftChars="304"/>
        <w:rPr>
          <w:rFonts w:ascii="仿宋_GB2312" w:hAnsi="Times New Roman" w:eastAsia="仿宋_GB2312"/>
          <w:kern w:val="0"/>
          <w:sz w:val="32"/>
          <w:szCs w:val="32"/>
        </w:rPr>
      </w:pPr>
      <w:r>
        <w:rPr>
          <w:rFonts w:hint="eastAsia" w:ascii="仿宋_GB2312" w:hAnsi="Times New Roman" w:eastAsia="仿宋_GB2312"/>
          <w:kern w:val="0"/>
          <w:sz w:val="32"/>
          <w:szCs w:val="32"/>
        </w:rPr>
        <w:t>2.拟变更驻店药师资格证书及聘书（变更驻店药师的提供）；</w:t>
      </w:r>
    </w:p>
    <w:p>
      <w:pPr>
        <w:tabs>
          <w:tab w:val="left" w:pos="790"/>
          <w:tab w:val="left" w:pos="1264"/>
        </w:tabs>
        <w:overflowPunct w:val="0"/>
        <w:spacing w:line="576" w:lineRule="exact"/>
        <w:ind w:left="638" w:leftChars="304"/>
        <w:rPr>
          <w:rFonts w:ascii="仿宋_GB2312" w:hAnsi="Times New Roman" w:eastAsia="仿宋_GB2312"/>
          <w:kern w:val="0"/>
          <w:sz w:val="32"/>
          <w:szCs w:val="32"/>
        </w:rPr>
      </w:pPr>
      <w:r>
        <w:rPr>
          <w:rFonts w:hint="eastAsia" w:ascii="仿宋_GB2312" w:hAnsi="Times New Roman" w:eastAsia="仿宋_GB2312"/>
          <w:kern w:val="0"/>
          <w:sz w:val="32"/>
          <w:szCs w:val="32"/>
        </w:rPr>
        <w:t>3.拟变更企业法定代表人、企业负责人、质量负责人学历、执业资格或职称证明、个人简历及专业技术人员资格证书、聘书（变更法定代表人、企业负责人、质量负责人需提供）；</w:t>
      </w:r>
    </w:p>
    <w:p>
      <w:pPr>
        <w:tabs>
          <w:tab w:val="left" w:pos="790"/>
          <w:tab w:val="left" w:pos="1264"/>
        </w:tabs>
        <w:overflowPunct w:val="0"/>
        <w:spacing w:line="576" w:lineRule="exact"/>
        <w:ind w:left="638" w:leftChars="304"/>
        <w:rPr>
          <w:rFonts w:ascii="仿宋_GB2312" w:hAnsi="Times New Roman" w:eastAsia="仿宋_GB2312"/>
          <w:kern w:val="0"/>
          <w:sz w:val="32"/>
          <w:szCs w:val="32"/>
        </w:rPr>
      </w:pPr>
      <w:r>
        <w:rPr>
          <w:rFonts w:hint="eastAsia" w:ascii="仿宋_GB2312" w:hAnsi="Times New Roman" w:eastAsia="仿宋_GB2312"/>
          <w:kern w:val="0"/>
          <w:sz w:val="32"/>
          <w:szCs w:val="32"/>
        </w:rPr>
        <w:t>4.营业场所、仓库平面布置图及房屋产权或使用权证明（申请变更地址、增加库房的提供，如果仅为申请增加经营范围的，只需提供营业场所平面布置图）；</w:t>
      </w:r>
    </w:p>
    <w:p>
      <w:pPr>
        <w:tabs>
          <w:tab w:val="left" w:pos="790"/>
          <w:tab w:val="left" w:pos="1264"/>
        </w:tabs>
        <w:overflowPunct w:val="0"/>
        <w:spacing w:line="576" w:lineRule="exact"/>
        <w:ind w:left="638" w:leftChars="304"/>
        <w:rPr>
          <w:rFonts w:ascii="仿宋_GB2312" w:hAnsi="Times New Roman" w:eastAsia="仿宋_GB2312"/>
          <w:kern w:val="0"/>
          <w:sz w:val="32"/>
          <w:szCs w:val="32"/>
        </w:rPr>
      </w:pPr>
      <w:r>
        <w:rPr>
          <w:rFonts w:hint="eastAsia" w:ascii="仿宋_GB2312" w:hAnsi="Times New Roman" w:eastAsia="仿宋_GB2312"/>
          <w:kern w:val="0"/>
          <w:sz w:val="32"/>
          <w:szCs w:val="32"/>
        </w:rPr>
        <w:t>5.与拟增加经营范围相适应的质量管理文件目录（增加经营范围的提供）；</w:t>
      </w:r>
    </w:p>
    <w:p>
      <w:pPr>
        <w:tabs>
          <w:tab w:val="left" w:pos="790"/>
          <w:tab w:val="left" w:pos="1264"/>
        </w:tabs>
        <w:overflowPunct w:val="0"/>
        <w:spacing w:line="576" w:lineRule="exact"/>
        <w:ind w:left="638" w:leftChars="304"/>
        <w:rPr>
          <w:rFonts w:ascii="仿宋_GB2312" w:hAnsi="Times New Roman" w:eastAsia="仿宋_GB2312"/>
          <w:kern w:val="0"/>
          <w:sz w:val="32"/>
          <w:szCs w:val="32"/>
        </w:rPr>
      </w:pPr>
      <w:r>
        <w:rPr>
          <w:rFonts w:hint="eastAsia" w:ascii="仿宋_GB2312" w:hAnsi="Times New Roman" w:eastAsia="仿宋_GB2312"/>
          <w:kern w:val="0"/>
          <w:sz w:val="32"/>
          <w:szCs w:val="32"/>
        </w:rPr>
        <w:t>6.与拟增加经营范围相适应的设施设备目录清单（增加经营范围的提供）；</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7.《药品经营许可证》正、副本原件；</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8.授权委托书。</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（三）补办</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1.《药品经营许可证》补办申请表；</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2.企业遗失声明；</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3.授权委托书。</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（四）注销</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1.注销《药品经营许可证（零售）》申请书；</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2.《药品经营许可证》正、副本原件；</w:t>
      </w:r>
    </w:p>
    <w:p>
      <w:pPr>
        <w:tabs>
          <w:tab w:val="left" w:pos="790"/>
          <w:tab w:val="left" w:pos="1264"/>
        </w:tabs>
        <w:overflowPunct w:val="0"/>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3.授权委托书。</w:t>
      </w:r>
    </w:p>
    <w:p>
      <w:pPr>
        <w:pStyle w:val="2"/>
        <w:ind w:firstLine="640"/>
        <w:rPr>
          <w:rFonts w:ascii="仿宋_GB2312" w:eastAsia="仿宋_GB2312"/>
          <w:kern w:val="0"/>
          <w:sz w:val="32"/>
          <w:szCs w:val="32"/>
        </w:rPr>
      </w:pPr>
    </w:p>
    <w:p>
      <w:pPr>
        <w:pStyle w:val="2"/>
        <w:ind w:firstLine="640"/>
        <w:rPr>
          <w:rFonts w:ascii="仿宋_GB2312" w:eastAsia="仿宋_GB2312"/>
          <w:kern w:val="0"/>
          <w:sz w:val="32"/>
          <w:szCs w:val="32"/>
        </w:rPr>
      </w:pPr>
    </w:p>
    <w:p>
      <w:pPr>
        <w:pStyle w:val="2"/>
        <w:ind w:firstLine="640"/>
        <w:rPr>
          <w:rFonts w:ascii="仿宋_GB2312" w:eastAsia="仿宋_GB2312"/>
          <w:kern w:val="0"/>
          <w:sz w:val="32"/>
          <w:szCs w:val="32"/>
        </w:rPr>
      </w:pPr>
    </w:p>
    <w:p>
      <w:pPr>
        <w:pStyle w:val="2"/>
        <w:ind w:firstLine="640"/>
        <w:rPr>
          <w:rFonts w:ascii="仿宋_GB2312" w:eastAsia="仿宋_GB2312"/>
          <w:kern w:val="0"/>
          <w:sz w:val="32"/>
          <w:szCs w:val="32"/>
        </w:rPr>
      </w:pPr>
    </w:p>
    <w:p>
      <w:pPr>
        <w:pStyle w:val="2"/>
        <w:ind w:firstLine="640"/>
        <w:rPr>
          <w:rFonts w:ascii="仿宋_GB2312" w:eastAsia="仿宋_GB2312"/>
          <w:kern w:val="0"/>
          <w:sz w:val="32"/>
          <w:szCs w:val="32"/>
        </w:rPr>
      </w:pPr>
    </w:p>
    <w:p>
      <w:pPr>
        <w:pStyle w:val="2"/>
        <w:ind w:firstLine="640"/>
        <w:rPr>
          <w:rFonts w:ascii="仿宋_GB2312" w:eastAsia="仿宋_GB2312"/>
          <w:kern w:val="0"/>
          <w:sz w:val="32"/>
          <w:szCs w:val="32"/>
        </w:rPr>
      </w:pPr>
    </w:p>
    <w:p>
      <w:pPr>
        <w:pStyle w:val="2"/>
        <w:ind w:firstLine="640"/>
        <w:rPr>
          <w:rFonts w:ascii="仿宋_GB2312" w:eastAsia="仿宋_GB2312"/>
          <w:kern w:val="0"/>
          <w:sz w:val="32"/>
          <w:szCs w:val="32"/>
        </w:rPr>
      </w:pPr>
    </w:p>
    <w:p>
      <w:pPr>
        <w:pStyle w:val="2"/>
        <w:ind w:firstLine="0" w:firstLineChars="0"/>
        <w:rPr>
          <w:rFonts w:ascii="仿宋_GB2312" w:eastAsia="仿宋_GB2312"/>
          <w:kern w:val="0"/>
          <w:sz w:val="32"/>
          <w:szCs w:val="32"/>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方正小标宋简体" w:hAnsi="方正小标宋简体" w:eastAsia="方正小标宋简体" w:cs="方正小标宋简体"/>
          <w:sz w:val="36"/>
          <w:szCs w:val="36"/>
        </w:rPr>
      </w:pPr>
      <w:r>
        <w:rPr>
          <w:rFonts w:hint="eastAsia" w:ascii="黑体" w:hAnsi="黑体" w:eastAsia="黑体" w:cs="黑体"/>
          <w:sz w:val="32"/>
          <w:szCs w:val="40"/>
        </w:rPr>
        <w:t>九、办理流程图</w:t>
      </w:r>
    </w:p>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药品零售企业许可</w:t>
      </w:r>
      <w:r>
        <w:rPr>
          <w:rFonts w:hint="eastAsia" w:ascii="方正小标宋简体" w:hAnsi="方正小标宋简体" w:eastAsia="方正小标宋简体" w:cs="方正小标宋简体"/>
          <w:sz w:val="36"/>
          <w:szCs w:val="36"/>
          <w:lang w:eastAsia="zh-CN"/>
        </w:rPr>
        <w:t>事项</w:t>
      </w:r>
      <w:r>
        <w:rPr>
          <w:rFonts w:hint="eastAsia" w:ascii="方正小标宋简体" w:hAnsi="方正小标宋简体" w:eastAsia="方正小标宋简体" w:cs="方正小标宋简体"/>
          <w:sz w:val="36"/>
          <w:szCs w:val="36"/>
        </w:rPr>
        <w:t>办理流程图</w:t>
      </w:r>
    </w:p>
    <w:p>
      <w: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9050" b="10160"/>
                <wp:wrapNone/>
                <wp:docPr id="53" name="圆角矩形 53"/>
                <wp:cNvGraphicFramePr/>
                <a:graphic xmlns:a="http://schemas.openxmlformats.org/drawingml/2006/main">
                  <a:graphicData uri="http://schemas.microsoft.com/office/word/2010/wordprocessingShape">
                    <wps:wsp>
                      <wps:cNvSpPr/>
                      <wps:spPr>
                        <a:xfrm>
                          <a:off x="2113280" y="2836545"/>
                          <a:ext cx="2889250" cy="593090"/>
                        </a:xfrm>
                        <a:prstGeom prst="round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申  请</w:t>
                            </w:r>
                          </w:p>
                          <w:p>
                            <w:pPr>
                              <w:jc w:val="center"/>
                              <w:rPr>
                                <w:color w:val="000000"/>
                                <w:sz w:val="22"/>
                                <w:szCs w:val="28"/>
                              </w:rPr>
                            </w:pPr>
                            <w:r>
                              <w:rPr>
                                <w:rFonts w:hint="eastAsia"/>
                                <w:color w:val="000000"/>
                                <w:sz w:val="22"/>
                                <w:szCs w:val="28"/>
                              </w:rPr>
                              <w:t>申请人现场或通过网上提出申请</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pGYv12gAAAAoBAAAP&#10;AAAAAAAAAAEAIAAAACIAAABkcnMvZG93bnJldi54bWxQSwECFAAUAAAACACHTuJAGdt5SIgCAADm&#10;BAAADgAAAAAAAAABACAAAAApAQAAZHJzL2Uyb0RvYy54bWxQSwUGAAAAAAYABgBZAQAAIwY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申  请</w:t>
                      </w:r>
                    </w:p>
                    <w:p>
                      <w:pPr>
                        <w:jc w:val="center"/>
                        <w:rPr>
                          <w:color w:val="000000"/>
                          <w:sz w:val="22"/>
                          <w:szCs w:val="28"/>
                        </w:rPr>
                      </w:pPr>
                      <w:r>
                        <w:rPr>
                          <w:rFonts w:hint="eastAsia"/>
                          <w:color w:val="000000"/>
                          <w:sz w:val="22"/>
                          <w:szCs w:val="28"/>
                        </w:rPr>
                        <w:t>申请人现场或通过网上提出申请</w:t>
                      </w:r>
                    </w:p>
                    <w:p>
                      <w:pPr>
                        <w:jc w:val="center"/>
                      </w:pPr>
                    </w:p>
                  </w:txbxContent>
                </v:textbox>
              </v:roundrect>
            </w:pict>
          </mc:Fallback>
        </mc:AlternateContent>
      </w:r>
    </w:p>
    <w:p>
      <w:pPr>
        <w:ind w:right="-1772" w:rightChars="-844"/>
      </w:pPr>
      <w: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0160" b="6350"/>
                <wp:wrapNone/>
                <wp:docPr id="54" name="流程图: 决策 54"/>
                <wp:cNvGraphicFramePr/>
                <a:graphic xmlns:a="http://schemas.openxmlformats.org/drawingml/2006/main">
                  <a:graphicData uri="http://schemas.microsoft.com/office/word/2010/wordprocessingShape">
                    <wps:wsp>
                      <wps:cNvSpPr/>
                      <wps:spPr>
                        <a:xfrm>
                          <a:off x="3444875" y="1608455"/>
                          <a:ext cx="2688590" cy="939800"/>
                        </a:xfrm>
                        <a:prstGeom prst="flowChartDecision">
                          <a:avLst/>
                        </a:prstGeom>
                        <a:noFill/>
                        <a:ln w="12700" cap="flat" cmpd="sng" algn="ctr">
                          <a:solidFill>
                            <a:srgbClr val="000000"/>
                          </a:solidFill>
                          <a:prstDash val="solid"/>
                        </a:ln>
                        <a:effectLst/>
                      </wps:spPr>
                      <wps:txbx>
                        <w:txbxContent>
                          <w:p>
                            <w:pPr>
                              <w:jc w:val="center"/>
                              <w:rPr>
                                <w:color w:val="000000"/>
                              </w:rPr>
                            </w:pPr>
                            <w:r>
                              <w:rPr>
                                <w:rFonts w:hint="eastAsia"/>
                                <w:color w:val="000000"/>
                              </w:rPr>
                              <w:t>受理人审核申请材料是否符合条件</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fCm6ONkAAAALAQAADwAAAAAAAAABACAAAAAiAAAAZHJzL2Rvd25yZXYueG1sUEsBAhQAFAAAAAgA&#10;h07iQGsofaaWAgAA8wQAAA4AAAAAAAAAAQAgAAAAKAEAAGRycy9lMm9Eb2MueG1sUEsFBgAAAAAG&#10;AAYAWQEAADAGAAAAAA==&#10;">
                <v:fill on="f" focussize="0,0"/>
                <v:stroke weight="1pt" color="#000000" joinstyle="round"/>
                <v:imagedata o:title=""/>
                <o:lock v:ext="edit" aspectratio="f"/>
                <v:textbox>
                  <w:txbxContent>
                    <w:p>
                      <w:pPr>
                        <w:jc w:val="center"/>
                        <w:rPr>
                          <w:color w:val="000000"/>
                        </w:rPr>
                      </w:pPr>
                      <w:r>
                        <w:rPr>
                          <w:rFonts w:hint="eastAsia"/>
                          <w:color w:val="000000"/>
                        </w:rPr>
                        <w:t>受理人审核申请材料是否符合条件</w:t>
                      </w:r>
                    </w:p>
                    <w:p>
                      <w:pPr>
                        <w:jc w:val="center"/>
                      </w:pP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62230" b="635"/>
                <wp:wrapNone/>
                <wp:docPr id="55" name="直接箭头连接符 55"/>
                <wp:cNvGraphicFramePr/>
                <a:graphic xmlns:a="http://schemas.openxmlformats.org/drawingml/2006/main">
                  <a:graphicData uri="http://schemas.microsoft.com/office/word/2010/wordprocessingShape">
                    <wps:wsp>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ZpZXI2wAAAAsBAAAPAAAAAAAAAAEAIAAAACIAAABkcnMv&#10;ZG93bnJldi54bWxQSwECFAAUAAAACACHTuJAhoPh9wACAADaAwAADgAAAAAAAAABACAAAAAqAQAA&#10;ZHJzL2Uyb0RvYy54bWxQSwUGAAAAAAYABgBZAQAAnA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3696335</wp:posOffset>
                </wp:positionV>
                <wp:extent cx="2814320" cy="904875"/>
                <wp:effectExtent l="6350" t="6350" r="17780" b="22225"/>
                <wp:wrapNone/>
                <wp:docPr id="56" name="矩形 56"/>
                <wp:cNvGraphicFramePr/>
                <a:graphic xmlns:a="http://schemas.openxmlformats.org/drawingml/2006/main">
                  <a:graphicData uri="http://schemas.microsoft.com/office/word/2010/wordprocessingShape">
                    <wps:wsp>
                      <wps:cNvSpPr/>
                      <wps:spPr>
                        <a:xfrm>
                          <a:off x="0" y="0"/>
                          <a:ext cx="2814320" cy="904875"/>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审  查</w:t>
                            </w:r>
                          </w:p>
                          <w:p>
                            <w:pPr>
                              <w:jc w:val="center"/>
                              <w:rPr>
                                <w:color w:val="000000"/>
                                <w:sz w:val="22"/>
                                <w:szCs w:val="28"/>
                              </w:rPr>
                            </w:pPr>
                            <w:r>
                              <w:rPr>
                                <w:rFonts w:hint="eastAsia"/>
                                <w:color w:val="000000"/>
                                <w:sz w:val="22"/>
                                <w:szCs w:val="28"/>
                              </w:rPr>
                              <w:t>对服务对象提交材料的真实性、合法性和规范性进行审核，提出准予许可（批准）或不准予许可（批准）意见。（5个工作日）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25pt;margin-top:291.05pt;height:71.25pt;width:221.6pt;z-index:251664384;v-text-anchor:middle;mso-width-relative:page;mso-height-relative:page;" filled="f" stroked="t" coordsize="21600,21600" o:gfxdata="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ytcijZAAAACwEAAA8AAAAAAAAAAQAgAAAAIgAAAGRycy9kb3ducmV2Lnht&#10;bFBLAQIUABQAAAAIAIdO4kAsOwWuagIAAM8EAAAOAAAAAAAAAAEAIAAAACgBAABkcnMvZTJvRG9j&#10;LnhtbFBLBQYAAAAABgAGAFkBAAAEBg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审  查</w:t>
                      </w:r>
                    </w:p>
                    <w:p>
                      <w:pPr>
                        <w:jc w:val="center"/>
                        <w:rPr>
                          <w:color w:val="000000"/>
                          <w:sz w:val="22"/>
                          <w:szCs w:val="28"/>
                        </w:rPr>
                      </w:pPr>
                      <w:r>
                        <w:rPr>
                          <w:rFonts w:hint="eastAsia"/>
                          <w:color w:val="000000"/>
                          <w:sz w:val="22"/>
                          <w:szCs w:val="28"/>
                        </w:rPr>
                        <w:t>对服务对象提交材料的真实性、合法性和规范性进行审核，提出准予许可（批准）或不准予许可（批准）意见。（5个工作日）</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7780" b="17145"/>
                <wp:wrapNone/>
                <wp:docPr id="57" name="矩形 57"/>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受  理</w:t>
                            </w:r>
                          </w:p>
                          <w:p>
                            <w:pPr>
                              <w:jc w:val="center"/>
                              <w:rPr>
                                <w:color w:val="000000"/>
                                <w:sz w:val="22"/>
                                <w:szCs w:val="28"/>
                              </w:rPr>
                            </w:pPr>
                            <w:r>
                              <w:rPr>
                                <w:rFonts w:hint="eastAsia"/>
                                <w:color w:val="000000"/>
                                <w:sz w:val="22"/>
                                <w:szCs w:val="28"/>
                              </w:rPr>
                              <w:t>符合受理条件，当场受理，出具《受理通知书》。（1个工作日）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en2O8tgAAAALAQAADwAAAAAAAAABACAAAAAiAAAAZHJzL2Rvd25yZXYueG1s&#10;UEsBAhQAFAAAAAgAh07iQL5IZZBqAgAAzwQAAA4AAAAAAAAAAQAgAAAAJwEAAGRycy9lMm9Eb2Mu&#10;eG1sUEsFBgAAAAAGAAYAWQEAAAMGA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受  理</w:t>
                      </w:r>
                    </w:p>
                    <w:p>
                      <w:pPr>
                        <w:jc w:val="center"/>
                        <w:rPr>
                          <w:color w:val="000000"/>
                          <w:sz w:val="22"/>
                          <w:szCs w:val="28"/>
                        </w:rPr>
                      </w:pPr>
                      <w:r>
                        <w:rPr>
                          <w:rFonts w:hint="eastAsia"/>
                          <w:color w:val="000000"/>
                          <w:sz w:val="22"/>
                          <w:szCs w:val="28"/>
                        </w:rPr>
                        <w:t>符合受理条件，当场受理，出具《受理通知书》。（1个工作日）</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60325" b="15240"/>
                <wp:wrapNone/>
                <wp:docPr id="58" name="直接箭头连接符 58"/>
                <wp:cNvGraphicFramePr/>
                <a:graphic xmlns:a="http://schemas.openxmlformats.org/drawingml/2006/main">
                  <a:graphicData uri="http://schemas.microsoft.com/office/word/2010/wordprocessingShape">
                    <wps:wsp>
                      <wps:cNvCnPr/>
                      <wps:spPr>
                        <a:xfrm flipH="1">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uHkPDYAAAABwEAAA8AAAAAAAAAAQAgAAAAIgAA&#10;AGRycy9kb3ducmV2LnhtbFBLAQIUABQAAAAIAIdO4kBweDjtCAIAAOQDAAAOAAAAAAAAAAEAIAAA&#10;ACcBAABkcnMvZTJvRG9jLnhtbFBLBQYAAAAABgAGAFkBAACh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8255" b="17780"/>
                <wp:wrapNone/>
                <wp:docPr id="59" name="直接连接符 59"/>
                <wp:cNvGraphicFramePr/>
                <a:graphic xmlns:a="http://schemas.openxmlformats.org/drawingml/2006/main">
                  <a:graphicData uri="http://schemas.microsoft.com/office/word/2010/wordprocessingShape">
                    <wps:wsp>
                      <wps:cNvCnPr/>
                      <wps:spPr>
                        <a:xfrm>
                          <a:off x="1094105" y="3376295"/>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GjFS/WAAAACQEAAA8AAAAAAAAAAQAgAAAAIgAAAGRycy9kb3ducmV2LnhtbFBLAQIUABQA&#10;AAAIAIdO4kCC1Fgs8gEAALsDAAAOAAAAAAAAAAEAIAAAACUBAABkcnMvZTJvRG9jLnhtbFBLBQYA&#10;AAAABgAGAFkBAACJBQAAAAA=&#10;">
                <v:fill on="f" focussize="0,0"/>
                <v:stroke weight="1.5pt"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9525" b="12065"/>
                <wp:wrapNone/>
                <wp:docPr id="60" name="圆角矩形 60"/>
                <wp:cNvGraphicFramePr/>
                <a:graphic xmlns:a="http://schemas.openxmlformats.org/drawingml/2006/main">
                  <a:graphicData uri="http://schemas.microsoft.com/office/word/2010/wordprocessingShape">
                    <wps:wsp>
                      <wps:cNvSpPr/>
                      <wps:spPr>
                        <a:xfrm>
                          <a:off x="5467985" y="3810000"/>
                          <a:ext cx="1336675" cy="1619885"/>
                        </a:xfrm>
                        <a:prstGeom prst="roundRect">
                          <a:avLst/>
                        </a:prstGeom>
                        <a:noFill/>
                        <a:ln w="12700" cap="flat" cmpd="sng" algn="ctr">
                          <a:solidFill>
                            <a:srgbClr val="000000"/>
                          </a:solidFill>
                          <a:prstDash val="solid"/>
                        </a:ln>
                        <a:effectLst/>
                      </wps:spPr>
                      <wps:txbx>
                        <w:txbxContent>
                          <w:p>
                            <w:pPr>
                              <w:jc w:val="center"/>
                              <w:rPr>
                                <w:color w:val="000000"/>
                                <w:sz w:val="22"/>
                                <w:szCs w:val="28"/>
                              </w:rPr>
                            </w:pPr>
                            <w:r>
                              <w:rPr>
                                <w:rFonts w:hint="eastAsia"/>
                                <w:color w:val="000000"/>
                                <w:sz w:val="22"/>
                                <w:szCs w:val="28"/>
                              </w:rPr>
                              <w:t>不符合申报条件，出具《不予受理通知书》，说明不予受理理由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mnbGQ2gAAAAsBAAAP&#10;AAAAAAAAAAEAIAAAACIAAABkcnMvZG93bnJldi54bWxQSwECFAAUAAAACACHTuJA2OuQJ4gCAADn&#10;BAAADgAAAAAAAAABACAAAAApAQAAZHJzL2Uyb0RvYy54bWxQSwUGAAAAAAYABgBZAQAAIwYAAAAA&#10;">
                <v:fill on="f" focussize="0,0"/>
                <v:stroke weight="1pt" color="#000000" joinstyle="round"/>
                <v:imagedata o:title=""/>
                <o:lock v:ext="edit" aspectratio="f"/>
                <v:textbox>
                  <w:txbxContent>
                    <w:p>
                      <w:pPr>
                        <w:jc w:val="center"/>
                        <w:rPr>
                          <w:color w:val="000000"/>
                          <w:sz w:val="22"/>
                          <w:szCs w:val="28"/>
                        </w:rPr>
                      </w:pPr>
                      <w:r>
                        <w:rPr>
                          <w:rFonts w:hint="eastAsia"/>
                          <w:color w:val="000000"/>
                          <w:sz w:val="22"/>
                          <w:szCs w:val="28"/>
                        </w:rPr>
                        <w:t>不符合申报条件，出具《不予受理通知书》，说明不予受理理由</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2700" b="22225"/>
                <wp:wrapNone/>
                <wp:docPr id="61" name="矩形 61"/>
                <wp:cNvGraphicFramePr/>
                <a:graphic xmlns:a="http://schemas.openxmlformats.org/drawingml/2006/main">
                  <a:graphicData uri="http://schemas.microsoft.com/office/word/2010/wordprocessingShape">
                    <wps:wsp>
                      <wps:cNvSpPr/>
                      <wps:spPr>
                        <a:xfrm>
                          <a:off x="546735" y="4074795"/>
                          <a:ext cx="1333500" cy="1628775"/>
                        </a:xfrm>
                        <a:prstGeom prst="rect">
                          <a:avLst/>
                        </a:prstGeom>
                        <a:noFill/>
                        <a:ln w="12700" cap="flat" cmpd="sng" algn="ctr">
                          <a:solidFill>
                            <a:srgbClr val="000000"/>
                          </a:solidFill>
                          <a:prstDash val="solid"/>
                        </a:ln>
                        <a:effectLst/>
                      </wps:spPr>
                      <wps:txbx>
                        <w:txbxContent>
                          <w:p>
                            <w:pPr>
                              <w:jc w:val="center"/>
                              <w:rPr>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cJY92gAAAAsBAAAPAAAAAAAAAAEAIAAAACIAAABk&#10;cnMvZG93bnJldi54bWxQSwECFAAUAAAACACHTuJA6x+U3HYCAADbBAAADgAAAAAAAAABACAAAAAp&#10;AQAAZHJzL2Uyb0RvYy54bWxQSwUGAAAAAAYABgBZAQAAEQYAAAAA&#10;">
                <v:fill on="f" focussize="0,0"/>
                <v:stroke weight="1pt" color="#000000" joinstyle="round"/>
                <v:imagedata o:title=""/>
                <o:lock v:ext="edit" aspectratio="f"/>
                <v:textbox>
                  <w:txbxContent>
                    <w:p>
                      <w:pPr>
                        <w:jc w:val="center"/>
                        <w:rPr>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v:textbox>
              </v:rect>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61595" b="0"/>
                <wp:wrapNone/>
                <wp:docPr id="62" name="直接箭头连接符 62"/>
                <wp:cNvGraphicFramePr/>
                <a:graphic xmlns:a="http://schemas.openxmlformats.org/drawingml/2006/main">
                  <a:graphicData uri="http://schemas.microsoft.com/office/word/2010/wordprocessingShape">
                    <wps:wsp>
                      <wps:cNvCnPr/>
                      <wps:spPr>
                        <a:xfrm>
                          <a:off x="3710940" y="4759325"/>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Jn1j9oAAAALAQAADwAAAAAA&#10;AAABACAAAAAiAAAAZHJzL2Rvd25yZXYueG1sUEsBAhQAFAAAAAgAh07iQJHFVtsRAgAA5wMAAA4A&#10;AAAAAAAAAQAgAAAAKQEAAGRycy9lMm9Eb2MueG1sUEsFBgAAAAAGAAYAWQEAAKw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62230" b="6985"/>
                <wp:wrapNone/>
                <wp:docPr id="63" name="直接箭头连接符 63"/>
                <wp:cNvGraphicFramePr/>
                <a:graphic xmlns:a="http://schemas.openxmlformats.org/drawingml/2006/main">
                  <a:graphicData uri="http://schemas.microsoft.com/office/word/2010/wordprocessingShape">
                    <wps:wsp>
                      <wps:cNvCnPr/>
                      <wps:spPr>
                        <a:xfrm>
                          <a:off x="3702685" y="3380105"/>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JuFV53AAAAAsBAAAPAAAAAAAA&#10;AAEAIAAAACIAAABkcnMvZG93bnJldi54bWxQSwECFAAUAAAACACHTuJAoV3m6Q4CAADmAwAADgAA&#10;AAAAAAABACAAAAArAQAAZHJzL2Uyb0RvYy54bWxQSwUGAAAAAAYABgBZAQAAqw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61595" b="16510"/>
                <wp:wrapNone/>
                <wp:docPr id="64" name="直接箭头连接符 64"/>
                <wp:cNvGraphicFramePr/>
                <a:graphic xmlns:a="http://schemas.openxmlformats.org/drawingml/2006/main">
                  <a:graphicData uri="http://schemas.microsoft.com/office/word/2010/wordprocessingShape">
                    <wps:wsp>
                      <wps:cNvCnPr/>
                      <wps:spPr>
                        <a:xfrm>
                          <a:off x="3693795" y="2075815"/>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XMZ5LdsAAAAKAQAADwAAAAAAAAAB&#10;ACAAAAAiAAAAZHJzL2Rvd25yZXYueG1sUEsBAhQAFAAAAAgAh07iQD+wDDsNAgAA5gMAAA4AAAAA&#10;AAAAAQAgAAAAKgEAAGRycy9lMm9Eb2MueG1sUEsFBgAAAAAGAAYAWQEAAKkFA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70528" behindDoc="0" locked="0" layoutInCell="1" allowOverlap="1">
                <wp:simplePos x="0" y="0"/>
                <wp:positionH relativeFrom="column">
                  <wp:posOffset>2552700</wp:posOffset>
                </wp:positionH>
                <wp:positionV relativeFrom="paragraph">
                  <wp:posOffset>161925</wp:posOffset>
                </wp:positionV>
                <wp:extent cx="20955" cy="442595"/>
                <wp:effectExtent l="34290" t="0" r="59055" b="14605"/>
                <wp:wrapNone/>
                <wp:docPr id="65" name="直接箭头连接符 65"/>
                <wp:cNvGraphicFramePr/>
                <a:graphic xmlns:a="http://schemas.openxmlformats.org/drawingml/2006/main">
                  <a:graphicData uri="http://schemas.microsoft.com/office/word/2010/wordprocessingShape">
                    <wps:wsp>
                      <wps:cNvCnPr/>
                      <wps:spPr>
                        <a:xfrm>
                          <a:off x="0" y="0"/>
                          <a:ext cx="20955" cy="442595"/>
                        </a:xfrm>
                        <a:prstGeom prst="straightConnector1">
                          <a:avLst/>
                        </a:prstGeom>
                        <a:ln w="12700" cap="flat" cmpd="sng">
                          <a:solidFill>
                            <a:srgbClr val="000000"/>
                          </a:solidFill>
                          <a:prstDash val="solid"/>
                          <a:round/>
                          <a:headEnd type="none" w="med" len="med"/>
                          <a:tailEnd type="arrow" w="med" len="med"/>
                        </a:ln>
                        <a:effectLst/>
                      </wps:spPr>
                      <wps:bodyPr/>
                    </wps:wsp>
                  </a:graphicData>
                </a:graphic>
              </wp:anchor>
            </w:drawing>
          </mc:Choice>
          <mc:Fallback>
            <w:pict>
              <v:shape id="_x0000_s1026" o:spid="_x0000_s1026" o:spt="32" type="#_x0000_t32" style="position:absolute;left:0pt;margin-left:201pt;margin-top:12.75pt;height:34.85pt;width:1.65pt;z-index:251670528;mso-width-relative:page;mso-height-relative:page;" filled="f" stroked="t" coordsize="21600,21600" o:gfxdata="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dcdMNoAAAAJAQAADwAA&#10;AAAAAAABACAAAAAiAAAAZHJzL2Rvd25yZXYueG1sUEsBAhQAFAAAAAgAh07iQM+pt6kUAgAACwQA&#10;AA4AAAAAAAAAAQAgAAAAKQEAAGRycy9lMm9Eb2MueG1sUEsFBgAAAAAGAAYAWQEAAK8FAAAAAA==&#10;">
                <v:fill on="f" focussize="0,0"/>
                <v:stroke weight="1pt" color="#000000" joinstyle="round" endarrow="open"/>
                <v:imagedata o:title=""/>
                <o:lock v:ext="edit" aspectratio="f"/>
              </v:shape>
            </w:pict>
          </mc:Fallback>
        </mc:AlternateContent>
      </w: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75648" behindDoc="0" locked="0" layoutInCell="1" allowOverlap="1">
                <wp:simplePos x="0" y="0"/>
                <wp:positionH relativeFrom="column">
                  <wp:posOffset>1192530</wp:posOffset>
                </wp:positionH>
                <wp:positionV relativeFrom="paragraph">
                  <wp:posOffset>222885</wp:posOffset>
                </wp:positionV>
                <wp:extent cx="2814320" cy="712470"/>
                <wp:effectExtent l="6350" t="6350" r="17780" b="24130"/>
                <wp:wrapNone/>
                <wp:docPr id="66" name="矩形 66"/>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现场踏勘</w:t>
                            </w:r>
                          </w:p>
                          <w:p>
                            <w:pPr>
                              <w:jc w:val="center"/>
                              <w:rPr>
                                <w:rFonts w:ascii="宋体" w:hAnsi="宋体" w:cs="宋体"/>
                                <w:kern w:val="0"/>
                                <w:sz w:val="22"/>
                                <w:szCs w:val="22"/>
                                <w:lang w:bidi="ar"/>
                              </w:rPr>
                            </w:pPr>
                            <w:r>
                              <w:rPr>
                                <w:rFonts w:hint="eastAsia" w:ascii="宋体" w:hAnsi="宋体" w:cs="宋体"/>
                                <w:kern w:val="0"/>
                                <w:sz w:val="22"/>
                                <w:szCs w:val="22"/>
                                <w:lang w:bidi="ar"/>
                              </w:rPr>
                              <w:t>勘察人员进行现场勘测、检验等工作，出具勘察结果。</w:t>
                            </w:r>
                            <w:r>
                              <w:rPr>
                                <w:rFonts w:hint="eastAsia"/>
                                <w:color w:val="000000"/>
                                <w:sz w:val="22"/>
                                <w:szCs w:val="28"/>
                              </w:rPr>
                              <w:t>（7个工作日）</w:t>
                            </w:r>
                          </w:p>
                          <w:p>
                            <w:pPr>
                              <w:jc w:val="center"/>
                              <w:rPr>
                                <w:color w:val="000000"/>
                                <w:sz w:val="22"/>
                                <w:szCs w:val="28"/>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9pt;margin-top:17.55pt;height:56.1pt;width:221.6pt;z-index:251675648;v-text-anchor:middle;mso-width-relative:page;mso-height-relative:page;" filled="f" stroked="t" coordsize="21600,21600" o:gfxdata="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lzKk3NgAAAAKAQAADwAAAAAAAAABACAAAAAiAAAAZHJzL2Rvd25yZXYueG1s&#10;UEsBAhQAFAAAAAgAh07iQDRq3alqAgAAzwQAAA4AAAAAAAAAAQAgAAAAJwEAAGRycy9lMm9Eb2Mu&#10;eG1sUEsFBgAAAAAGAAYAWQEAAAMGA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现场踏勘</w:t>
                      </w:r>
                    </w:p>
                    <w:p>
                      <w:pPr>
                        <w:jc w:val="center"/>
                        <w:rPr>
                          <w:rFonts w:ascii="宋体" w:hAnsi="宋体" w:cs="宋体"/>
                          <w:kern w:val="0"/>
                          <w:sz w:val="22"/>
                          <w:szCs w:val="22"/>
                          <w:lang w:bidi="ar"/>
                        </w:rPr>
                      </w:pPr>
                      <w:r>
                        <w:rPr>
                          <w:rFonts w:hint="eastAsia" w:ascii="宋体" w:hAnsi="宋体" w:cs="宋体"/>
                          <w:kern w:val="0"/>
                          <w:sz w:val="22"/>
                          <w:szCs w:val="22"/>
                          <w:lang w:bidi="ar"/>
                        </w:rPr>
                        <w:t>勘察人员进行现场勘测、检验等工作，出具勘察结果。</w:t>
                      </w:r>
                      <w:r>
                        <w:rPr>
                          <w:rFonts w:hint="eastAsia"/>
                          <w:color w:val="000000"/>
                          <w:sz w:val="22"/>
                          <w:szCs w:val="28"/>
                        </w:rPr>
                        <w:t>（7个工作日）</w:t>
                      </w:r>
                    </w:p>
                    <w:p>
                      <w:pPr>
                        <w:jc w:val="center"/>
                        <w:rPr>
                          <w:color w:val="000000"/>
                          <w:sz w:val="22"/>
                          <w:szCs w:val="28"/>
                        </w:rPr>
                      </w:pPr>
                    </w:p>
                  </w:txbxContent>
                </v:textbox>
              </v:rect>
            </w:pict>
          </mc:Fallback>
        </mc:AlternateContent>
      </w:r>
    </w:p>
    <w:p>
      <w:pPr>
        <w:spacing w:line="560" w:lineRule="exact"/>
        <w:ind w:firstLine="640" w:firstLineChars="200"/>
        <w:jc w:val="left"/>
        <w:rPr>
          <w:rFonts w:ascii="黑体" w:hAnsi="黑体" w:eastAsia="黑体" w:cs="黑体"/>
          <w:sz w:val="32"/>
          <w:szCs w:val="40"/>
        </w:rPr>
      </w:pP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76672" behindDoc="0" locked="0" layoutInCell="1" allowOverlap="1">
                <wp:simplePos x="0" y="0"/>
                <wp:positionH relativeFrom="column">
                  <wp:posOffset>1472565</wp:posOffset>
                </wp:positionH>
                <wp:positionV relativeFrom="paragraph">
                  <wp:posOffset>231775</wp:posOffset>
                </wp:positionV>
                <wp:extent cx="8890" cy="476250"/>
                <wp:effectExtent l="43815" t="0" r="61595" b="0"/>
                <wp:wrapNone/>
                <wp:docPr id="67" name="直接箭头连接符 67"/>
                <wp:cNvGraphicFramePr/>
                <a:graphic xmlns:a="http://schemas.openxmlformats.org/drawingml/2006/main">
                  <a:graphicData uri="http://schemas.microsoft.com/office/word/2010/wordprocessingShape">
                    <wps:wsp>
                      <wps:cNvCnPr/>
                      <wps:spPr>
                        <a:xfrm>
                          <a:off x="0" y="0"/>
                          <a:ext cx="8890" cy="476250"/>
                        </a:xfrm>
                        <a:prstGeom prst="straightConnector1">
                          <a:avLst/>
                        </a:prstGeom>
                        <a:ln w="12700" cap="flat" cmpd="sng">
                          <a:solidFill>
                            <a:srgbClr val="000000"/>
                          </a:solidFill>
                          <a:prstDash val="solid"/>
                          <a:round/>
                          <a:headEnd type="none" w="med" len="med"/>
                          <a:tailEnd type="arrow" w="med" len="med"/>
                        </a:ln>
                        <a:effectLst/>
                      </wps:spPr>
                      <wps:bodyPr/>
                    </wps:wsp>
                  </a:graphicData>
                </a:graphic>
              </wp:anchor>
            </w:drawing>
          </mc:Choice>
          <mc:Fallback>
            <w:pict>
              <v:shape id="_x0000_s1026" o:spid="_x0000_s1026" o:spt="32" type="#_x0000_t32" style="position:absolute;left:0pt;margin-left:115.95pt;margin-top:18.25pt;height:37.5pt;width:0.7pt;z-index:251676672;mso-width-relative:page;mso-height-relative:page;" filled="f" stroked="t" coordsize="21600,21600" o:gfxdata="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L6bO/aAAAACgEAAA8AAAAA&#10;AAAAAQAgAAAAIgAAAGRycy9kb3ducmV2LnhtbFBLAQIUABQAAAAIAIdO4kAOA4SgEgIAAAoEAAAO&#10;AAAAAAAAAAEAIAAAACkBAABkcnMvZTJvRG9jLnhtbFBLBQYAAAAABgAGAFkBAACtBQ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ascii="黑体" w:hAnsi="黑体" w:eastAsia="黑体" w:cs="黑体"/>
          <w:sz w:val="32"/>
          <w:szCs w:val="40"/>
        </w:rPr>
      </w:pPr>
    </w:p>
    <w:p>
      <w:pPr>
        <w:pStyle w:val="2"/>
        <w:rPr>
          <w:rFonts w:ascii="黑体" w:hAnsi="黑体" w:eastAsia="黑体" w:cs="黑体"/>
          <w:sz w:val="32"/>
          <w:szCs w:val="40"/>
        </w:rPr>
      </w:pPr>
      <w:r>
        <mc:AlternateContent>
          <mc:Choice Requires="wps">
            <w:drawing>
              <wp:anchor distT="0" distB="0" distL="114300" distR="114300" simplePos="0" relativeHeight="251665408" behindDoc="0" locked="0" layoutInCell="1" allowOverlap="1">
                <wp:simplePos x="0" y="0"/>
                <wp:positionH relativeFrom="column">
                  <wp:posOffset>3368040</wp:posOffset>
                </wp:positionH>
                <wp:positionV relativeFrom="paragraph">
                  <wp:posOffset>33655</wp:posOffset>
                </wp:positionV>
                <wp:extent cx="2320290" cy="996950"/>
                <wp:effectExtent l="6350" t="6350" r="16510" b="6350"/>
                <wp:wrapNone/>
                <wp:docPr id="68" name="矩形 68"/>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决  定</w:t>
                            </w:r>
                          </w:p>
                          <w:p>
                            <w:pPr>
                              <w:jc w:val="center"/>
                              <w:rPr>
                                <w:color w:val="000000"/>
                                <w:sz w:val="22"/>
                                <w:szCs w:val="28"/>
                              </w:rPr>
                            </w:pPr>
                            <w:r>
                              <w:rPr>
                                <w:rFonts w:hint="eastAsia"/>
                                <w:color w:val="000000"/>
                                <w:sz w:val="22"/>
                                <w:szCs w:val="28"/>
                              </w:rPr>
                              <w:t>按内部审批权限，作出准予许可(批准)或不准予许可（批准）的决定。（2个工作日）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5.2pt;margin-top:2.65pt;height:78.5pt;width:182.7pt;z-index:251665408;v-text-anchor:middle;mso-width-relative:page;mso-height-relative:page;" filled="f" stroked="t" coordsize="21600,21600" o:gfxdata="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JpdeCfXAAAACQEAAA8AAAAAAAAAAQAgAAAAIgAAAGRycy9kb3ducmV2LnhtbFBL&#10;AQIUABQAAAAIAIdO4kB2mwwGaQIAAM8EAAAOAAAAAAAAAAEAIAAAACYBAABkcnMvZTJvRG9jLnht&#10;bFBLBQYAAAAABgAGAFkBAAABBg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决  定</w:t>
                      </w:r>
                    </w:p>
                    <w:p>
                      <w:pPr>
                        <w:jc w:val="center"/>
                        <w:rPr>
                          <w:color w:val="000000"/>
                          <w:sz w:val="22"/>
                          <w:szCs w:val="28"/>
                        </w:rPr>
                      </w:pPr>
                      <w:r>
                        <w:rPr>
                          <w:rFonts w:hint="eastAsia"/>
                          <w:color w:val="000000"/>
                          <w:sz w:val="22"/>
                          <w:szCs w:val="28"/>
                        </w:rPr>
                        <w:t>按内部审批权限，作出准予许可(批准)或不准予许可（批准）的决定。（2个工作日）</w:t>
                      </w:r>
                    </w:p>
                  </w:txbxContent>
                </v:textbox>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390525</wp:posOffset>
                </wp:positionH>
                <wp:positionV relativeFrom="paragraph">
                  <wp:posOffset>-930910</wp:posOffset>
                </wp:positionV>
                <wp:extent cx="1036320" cy="2926080"/>
                <wp:effectExtent l="6350" t="6350" r="20320" b="24130"/>
                <wp:wrapNone/>
                <wp:docPr id="69" name="矩形 69"/>
                <wp:cNvGraphicFramePr/>
                <a:graphic xmlns:a="http://schemas.openxmlformats.org/drawingml/2006/main">
                  <a:graphicData uri="http://schemas.microsoft.com/office/word/2010/wordprocessingShape">
                    <wps:wsp>
                      <wps:cNvSpPr/>
                      <wps:spPr>
                        <a:xfrm rot="-5400000" flipV="1">
                          <a:off x="0" y="0"/>
                          <a:ext cx="1036320" cy="2926080"/>
                        </a:xfrm>
                        <a:prstGeom prst="rect">
                          <a:avLst/>
                        </a:prstGeom>
                        <a:noFill/>
                        <a:ln w="12700" cap="flat" cmpd="sng">
                          <a:solidFill>
                            <a:srgbClr val="000000"/>
                          </a:solidFill>
                          <a:prstDash val="solid"/>
                          <a:round/>
                          <a:headEnd type="none" w="med" len="med"/>
                          <a:tailEnd type="none" w="med" len="med"/>
                        </a:ln>
                        <a:effectLst/>
                      </wps:spPr>
                      <wps:txbx>
                        <w:txbxContent>
                          <w:p>
                            <w:pPr>
                              <w:ind w:firstLine="1767" w:firstLineChars="800"/>
                              <w:rPr>
                                <w:rFonts w:ascii="宋体" w:hAnsi="宋体" w:cs="宋体"/>
                                <w:b/>
                                <w:bCs/>
                                <w:kern w:val="0"/>
                                <w:sz w:val="22"/>
                                <w:szCs w:val="22"/>
                                <w:lang w:bidi="ar"/>
                              </w:rPr>
                            </w:pPr>
                            <w:r>
                              <w:rPr>
                                <w:rFonts w:hint="eastAsia" w:ascii="宋体" w:hAnsi="宋体" w:cs="宋体"/>
                                <w:b/>
                                <w:bCs/>
                                <w:kern w:val="0"/>
                                <w:sz w:val="22"/>
                                <w:szCs w:val="22"/>
                                <w:lang w:bidi="ar"/>
                              </w:rPr>
                              <w:t>审  查</w:t>
                            </w:r>
                          </w:p>
                          <w:p>
                            <w:r>
                              <w:rPr>
                                <w:rFonts w:hint="eastAsia" w:ascii="宋体" w:hAnsi="宋体" w:cs="宋体"/>
                                <w:kern w:val="0"/>
                                <w:sz w:val="22"/>
                                <w:szCs w:val="22"/>
                                <w:lang w:bidi="ar"/>
                              </w:rPr>
                              <w:t>对申请人提交材料的真实性、合法性和规范性进行审核，提出准予许可或不予许可的意见（5个工作日）</w:t>
                            </w:r>
                          </w:p>
                        </w:txbxContent>
                      </wps:txbx>
                      <wps:bodyPr anchor="ctr" anchorCtr="0" upright="1"/>
                    </wps:wsp>
                  </a:graphicData>
                </a:graphic>
              </wp:anchor>
            </w:drawing>
          </mc:Choice>
          <mc:Fallback>
            <w:pict>
              <v:rect id="_x0000_s1026" o:spid="_x0000_s1026" o:spt="1" style="position:absolute;left:0pt;flip:y;margin-left:30.75pt;margin-top:-73.3pt;height:230.4pt;width:81.6pt;rotation:5898240f;z-index:251666432;v-text-anchor:middle;mso-width-relative:page;mso-height-relative:page;" filled="f" stroked="t" coordsize="21600,21600" o:gfxdata="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k9HC&#10;R9kAAAALAQAADwAAAAAAAAABACAAAAAiAAAAZHJzL2Rvd25yZXYueG1sUEsBAhQAFAAAAAgAh07i&#10;QGGXRZEhAgAARgQAAA4AAAAAAAAAAQAgAAAAKAEAAGRycy9lMm9Eb2MueG1sUEsFBgAAAAAGAAYA&#10;WQEAALsFAAAAAA==&#10;">
                <v:fill on="f" focussize="0,0"/>
                <v:stroke weight="1pt" color="#000000" joinstyle="round"/>
                <v:imagedata o:title=""/>
                <o:lock v:ext="edit" aspectratio="f"/>
                <v:textbox>
                  <w:txbxContent>
                    <w:p>
                      <w:pPr>
                        <w:ind w:firstLine="1767" w:firstLineChars="800"/>
                        <w:rPr>
                          <w:rFonts w:ascii="宋体" w:hAnsi="宋体" w:cs="宋体"/>
                          <w:b/>
                          <w:bCs/>
                          <w:kern w:val="0"/>
                          <w:sz w:val="22"/>
                          <w:szCs w:val="22"/>
                          <w:lang w:bidi="ar"/>
                        </w:rPr>
                      </w:pPr>
                      <w:r>
                        <w:rPr>
                          <w:rFonts w:hint="eastAsia" w:ascii="宋体" w:hAnsi="宋体" w:cs="宋体"/>
                          <w:b/>
                          <w:bCs/>
                          <w:kern w:val="0"/>
                          <w:sz w:val="22"/>
                          <w:szCs w:val="22"/>
                          <w:lang w:bidi="ar"/>
                        </w:rPr>
                        <w:t>审  查</w:t>
                      </w:r>
                    </w:p>
                    <w:p>
                      <w:r>
                        <w:rPr>
                          <w:rFonts w:hint="eastAsia" w:ascii="宋体" w:hAnsi="宋体" w:cs="宋体"/>
                          <w:kern w:val="0"/>
                          <w:sz w:val="22"/>
                          <w:szCs w:val="22"/>
                          <w:lang w:bidi="ar"/>
                        </w:rPr>
                        <w:t>对申请人提交材料的真实性、合法性和规范性进行审核，提出准予许可或不予许可的意见（5个工作日）</w:t>
                      </w:r>
                    </w:p>
                  </w:txbxContent>
                </v:textbox>
              </v:rect>
            </w:pict>
          </mc:Fallback>
        </mc:AlternateContent>
      </w:r>
    </w:p>
    <w:p>
      <w:pPr>
        <w:pStyle w:val="2"/>
        <w:rPr>
          <w:rFonts w:ascii="黑体" w:hAnsi="黑体" w:eastAsia="黑体" w:cs="黑体"/>
          <w:sz w:val="32"/>
          <w:szCs w:val="40"/>
        </w:rPr>
      </w:pPr>
      <w:r>
        <mc:AlternateContent>
          <mc:Choice Requires="wps">
            <w:drawing>
              <wp:anchor distT="0" distB="0" distL="114300" distR="114300" simplePos="0" relativeHeight="251671552" behindDoc="0" locked="0" layoutInCell="1" allowOverlap="1">
                <wp:simplePos x="0" y="0"/>
                <wp:positionH relativeFrom="column">
                  <wp:posOffset>2486025</wp:posOffset>
                </wp:positionH>
                <wp:positionV relativeFrom="paragraph">
                  <wp:posOffset>42545</wp:posOffset>
                </wp:positionV>
                <wp:extent cx="848360" cy="8255"/>
                <wp:effectExtent l="4445" t="30480" r="4445" b="37465"/>
                <wp:wrapNone/>
                <wp:docPr id="70" name="直接箭头连接符 70"/>
                <wp:cNvGraphicFramePr/>
                <a:graphic xmlns:a="http://schemas.openxmlformats.org/drawingml/2006/main">
                  <a:graphicData uri="http://schemas.microsoft.com/office/word/2010/wordprocessingShape">
                    <wps:wsp>
                      <wps:cNvCnPr/>
                      <wps:spPr>
                        <a:xfrm>
                          <a:off x="0" y="0"/>
                          <a:ext cx="848360" cy="8255"/>
                        </a:xfrm>
                        <a:prstGeom prst="straightConnector1">
                          <a:avLst/>
                        </a:prstGeom>
                        <a:ln w="3175" cap="rnd" cmpd="sng">
                          <a:solidFill>
                            <a:srgbClr val="000000"/>
                          </a:solidFill>
                          <a:prstDash val="sysDot"/>
                          <a:round/>
                          <a:headEnd type="none" w="med" len="med"/>
                          <a:tailEnd type="triangle" w="med" len="med"/>
                        </a:ln>
                        <a:effectLst/>
                      </wps:spPr>
                      <wps:bodyPr/>
                    </wps:wsp>
                  </a:graphicData>
                </a:graphic>
              </wp:anchor>
            </w:drawing>
          </mc:Choice>
          <mc:Fallback>
            <w:pict>
              <v:shape id="_x0000_s1026" o:spid="_x0000_s1026" o:spt="32" type="#_x0000_t32" style="position:absolute;left:0pt;margin-left:195.75pt;margin-top:3.35pt;height:0.65pt;width:66.8pt;z-index:251671552;mso-width-relative:page;mso-height-relative:page;" filled="f" stroked="t" coordsize="21600,21600" o:gfxdata="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zgsgzWAAAABwEAAA8AAAAAAAAA&#10;AQAgAAAAIgAAAGRycy9kb3ducmV2LnhtbFBLAQIUABQAAAAIAIdO4kBU/bwPEwIAAAwEAAAOAAAA&#10;AAAAAAEAIAAAACUBAABkcnMvZTJvRG9jLnhtbFBLBQYAAAAABgAGAFkBAACqBQAAAAA=&#10;">
                <v:fill on="f" focussize="0,0"/>
                <v:stroke weight="0.25pt" color="#000000" joinstyle="round" dashstyle="1 1" endcap="round" endarrow="block"/>
                <v:imagedata o:title=""/>
                <o:lock v:ext="edit" aspectratio="f"/>
              </v:shape>
            </w:pict>
          </mc:Fallback>
        </mc:AlternateContent>
      </w:r>
    </w:p>
    <w:p>
      <w:pPr>
        <w:spacing w:line="560" w:lineRule="exact"/>
        <w:jc w:val="left"/>
        <w:rPr>
          <w:rFonts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bookmarkStart w:id="0" w:name="_GoBack"/>
      <w:bookmarkEnd w:id="0"/>
      <w:r>
        <w:rPr>
          <w:rFonts w:hint="eastAsia" w:ascii="黑体" w:hAnsi="黑体" w:eastAsia="黑体" w:cs="黑体"/>
          <w:sz w:val="32"/>
          <w:szCs w:val="40"/>
        </w:rPr>
        <w:t>十、加强事中事后监管措施</w:t>
      </w:r>
    </w:p>
    <w:p>
      <w:pPr>
        <w:spacing w:line="576" w:lineRule="exact"/>
        <w:ind w:left="638" w:leftChars="304"/>
        <w:rPr>
          <w:rFonts w:ascii="仿宋_GB2312" w:hAnsi="仿宋" w:eastAsia="仿宋_GB2312"/>
          <w:sz w:val="32"/>
          <w:szCs w:val="32"/>
        </w:rPr>
      </w:pPr>
      <w:r>
        <w:rPr>
          <w:rFonts w:hint="eastAsia" w:ascii="仿宋_GB2312" w:hAnsi="仿宋" w:eastAsia="仿宋_GB2312"/>
          <w:sz w:val="32"/>
          <w:szCs w:val="32"/>
        </w:rPr>
        <w:t>1.落实“四个最严”要求，制定年度监管计划，突出监管重点，强化风险控制。</w:t>
      </w:r>
    </w:p>
    <w:p>
      <w:pPr>
        <w:spacing w:line="576" w:lineRule="exact"/>
        <w:ind w:left="638" w:leftChars="304"/>
        <w:rPr>
          <w:rFonts w:ascii="仿宋_GB2312" w:hAnsi="仿宋" w:eastAsia="仿宋_GB2312"/>
          <w:sz w:val="32"/>
          <w:szCs w:val="32"/>
        </w:rPr>
      </w:pPr>
      <w:r>
        <w:rPr>
          <w:rFonts w:hint="eastAsia" w:ascii="仿宋_GB2312" w:hAnsi="仿宋" w:eastAsia="仿宋_GB2312"/>
          <w:sz w:val="32"/>
          <w:szCs w:val="32"/>
        </w:rPr>
        <w:t>2.通过日常监管督促企业不断完善、改进质量管理体系，持续合法合规经营。</w:t>
      </w:r>
    </w:p>
    <w:p>
      <w:pPr>
        <w:tabs>
          <w:tab w:val="left" w:pos="790"/>
          <w:tab w:val="left" w:pos="1264"/>
        </w:tabs>
        <w:overflowPunct w:val="0"/>
        <w:spacing w:line="556" w:lineRule="exact"/>
        <w:ind w:firstLine="640" w:firstLineChars="200"/>
        <w:rPr>
          <w:rFonts w:ascii="仿宋_GB2312" w:hAnsi="宋体" w:eastAsia="仿宋_GB2312"/>
          <w:kern w:val="0"/>
          <w:sz w:val="32"/>
          <w:szCs w:val="30"/>
        </w:rPr>
      </w:pPr>
      <w:r>
        <w:rPr>
          <w:rFonts w:hint="eastAsia" w:ascii="仿宋_GB2312" w:hAnsi="仿宋" w:eastAsia="仿宋_GB2312"/>
          <w:sz w:val="32"/>
          <w:szCs w:val="32"/>
        </w:rPr>
        <w:t>3.对违法违规行为，依法严厉查处并公开曝光。</w:t>
      </w:r>
    </w:p>
    <w:p>
      <w:pPr>
        <w:spacing w:line="560" w:lineRule="exact"/>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D7C8D"/>
    <w:rsid w:val="6C435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2021-10-12T01:41:42Z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82C294FA4F244F8DBD1DD6095188A77F</vt:lpwstr>
  </property>
</Properties>
</file>